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Riina Sikkut</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terviseminister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ab/>
        <w:tab/>
        <w:t xml:space="preserve">veebruar 2024</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Ravijärjekorrad</w:t>
      </w:r>
    </w:p>
    <w:p w:rsidR="00000000" w:rsidDel="00000000" w:rsidP="00000000" w:rsidRDefault="00000000" w:rsidRPr="00000000" w14:paraId="0000000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terviseminister</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Mõnes piirkonnas on probleeme tekkinud perearstiteenuste kvaliteedi ja kättesaadavusega. On juhtumeid, kus perearstina töötab muul erialal koolituse läbinud inimene. Mõnikord viib perearstikeskuses vastuvõttu läbi õde ja arst ilmub töökohale vaid korra või kaks nädalas ning vastuvõtule pääsemine on pea võimatu. On juhtumeid, kus õde annab konsultatsioone vaid kaugsuhtluse teel.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t xml:space="preserve">Palun teil vastata järgmistele küsimustele:</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1. Kas peate tekkinud olukorda normaalseks?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2. Kuidas perearstide tööd jälgitakse?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3. Mida kavatseb teie ministeerium olukorra parandamiseks ette võtta?</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